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5E4" w:rsidRDefault="00A626F8">
      <w:pPr>
        <w:rPr>
          <w:b/>
          <w:szCs w:val="24"/>
        </w:rPr>
      </w:pPr>
      <w:r>
        <w:rPr>
          <w:b/>
          <w:szCs w:val="24"/>
        </w:rPr>
        <w:t>Discrimination</w:t>
      </w:r>
    </w:p>
    <w:p w:rsidR="006025E4" w:rsidRDefault="006025E4">
      <w:pPr>
        <w:rPr>
          <w:rFonts w:ascii="Calibri" w:eastAsia="Calibri" w:hAnsi="Calibri" w:cs="Calibri"/>
          <w:szCs w:val="24"/>
        </w:rPr>
      </w:pPr>
    </w:p>
    <w:p w:rsidR="006025E4" w:rsidRDefault="00A626F8">
      <w:pPr>
        <w:rPr>
          <w:rFonts w:ascii="Calibri" w:eastAsia="Calibri" w:hAnsi="Calibri" w:cs="Calibri"/>
          <w:szCs w:val="24"/>
        </w:rPr>
      </w:pPr>
      <w:r>
        <w:rPr>
          <w:rFonts w:ascii="Calibri" w:eastAsia="Calibri" w:hAnsi="Calibri" w:cs="Calibri"/>
          <w:szCs w:val="24"/>
        </w:rPr>
        <w:t xml:space="preserve">The Hospital and its affiliates are committed to a policy of nondiscrimination and equal opportunity for all qualified applicants and employees, without regard to race, color, sex, religion, age, national origin, ancestry, disability, veteran status or any other illegal criteria.  Our policy of non-discrimination extends to the care of patients.  Discrimination also violate state and/or federal anti-discrimination laws and trigger substantial civil penalties.  If an employee feels he or she or any patient has been discriminated against or harassed on the basis of his or her </w:t>
      </w:r>
      <w:r w:rsidR="000C7D8F">
        <w:rPr>
          <w:rFonts w:ascii="Calibri" w:eastAsia="Calibri" w:hAnsi="Calibri" w:cs="Calibri"/>
          <w:szCs w:val="24"/>
        </w:rPr>
        <w:t xml:space="preserve">age, </w:t>
      </w:r>
      <w:bookmarkStart w:id="0" w:name="_GoBack"/>
      <w:bookmarkEnd w:id="0"/>
      <w:r>
        <w:rPr>
          <w:rFonts w:ascii="Calibri" w:eastAsia="Calibri" w:hAnsi="Calibri" w:cs="Calibri"/>
          <w:szCs w:val="24"/>
        </w:rPr>
        <w:t xml:space="preserve">race, color, sex, </w:t>
      </w:r>
      <w:r w:rsidR="000C7D8F">
        <w:rPr>
          <w:rFonts w:ascii="Calibri" w:eastAsia="Calibri" w:hAnsi="Calibri" w:cs="Calibri"/>
          <w:szCs w:val="24"/>
        </w:rPr>
        <w:t xml:space="preserve">disability </w:t>
      </w:r>
      <w:r>
        <w:rPr>
          <w:rFonts w:ascii="Calibri" w:eastAsia="Calibri" w:hAnsi="Calibri" w:cs="Calibri"/>
          <w:szCs w:val="24"/>
        </w:rPr>
        <w:t>or other protected category, he or she should contact the Hospital Administrator or the Director of Human Resources so that an investigation may be initiated in accordance with Hospital policies and procedures.  A patient who feels he or she has been the subject of unlawful discrimination or harassment is encouraged to contact the Patient Representative, who will refer the matter to the appropriate Hospital personnel for investigation.</w:t>
      </w:r>
    </w:p>
    <w:p w:rsidR="006025E4" w:rsidRDefault="006025E4">
      <w:pPr>
        <w:ind w:left="720"/>
        <w:rPr>
          <w:rFonts w:ascii="Calibri" w:eastAsia="Calibri" w:hAnsi="Calibri" w:cs="Calibri"/>
          <w:szCs w:val="24"/>
        </w:rPr>
      </w:pPr>
    </w:p>
    <w:p w:rsidR="006025E4" w:rsidRDefault="00A626F8">
      <w:pPr>
        <w:rPr>
          <w:rFonts w:ascii="Calibri" w:eastAsia="Calibri" w:hAnsi="Calibri" w:cs="Calibri"/>
          <w:szCs w:val="24"/>
        </w:rPr>
      </w:pPr>
      <w:r>
        <w:rPr>
          <w:rFonts w:ascii="Calibri" w:eastAsia="Calibri" w:hAnsi="Calibri" w:cs="Calibri"/>
          <w:szCs w:val="24"/>
        </w:rPr>
        <w:t>The Hospital is also strongly committed to complying with other federal and state laws governing employment.  These laws include: the Americans with Disabilities Act, the Employee Retiree Income Security Act, the Labor Management Relations Act, the Age Discrimination in Employment Act, the Fair Labor Standards Act, and the Immigration Reform and Control Act.  The Hospital’s Employee Handbook also addresses discrimination and all employees are charged with familiarizing themselves with and adhering to these policies.  The human resource department can provide employees with information on the applicable laws and policies and can direct questions to the proper person.</w:t>
      </w:r>
    </w:p>
    <w:sectPr w:rsidR="006025E4">
      <w:headerReference w:type="default" r:id="rId7"/>
      <w:endnotePr>
        <w:numFmt w:val="decimal"/>
      </w:endnotePr>
      <w:type w:val="continuous"/>
      <w:pgSz w:w="12240" w:h="15840"/>
      <w:pgMar w:top="360" w:right="720" w:bottom="36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5E4" w:rsidRDefault="00A626F8">
      <w:pPr>
        <w:spacing w:after="0" w:line="240" w:lineRule="auto"/>
      </w:pPr>
      <w:r>
        <w:separator/>
      </w:r>
    </w:p>
  </w:endnote>
  <w:endnote w:type="continuationSeparator" w:id="0">
    <w:p w:rsidR="006025E4" w:rsidRDefault="00A62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5E4" w:rsidRDefault="00A626F8">
      <w:pPr>
        <w:spacing w:after="0" w:line="240" w:lineRule="auto"/>
      </w:pPr>
      <w:r>
        <w:separator/>
      </w:r>
    </w:p>
  </w:footnote>
  <w:footnote w:type="continuationSeparator" w:id="0">
    <w:p w:rsidR="006025E4" w:rsidRDefault="00A62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20" w:type="dxa"/>
      <w:tblInd w:w="-240" w:type="dxa"/>
      <w:tblLayout w:type="fixed"/>
      <w:tblCellMar>
        <w:left w:w="120" w:type="dxa"/>
        <w:right w:w="120" w:type="dxa"/>
      </w:tblCellMar>
      <w:tblLook w:val="04A0" w:firstRow="1" w:lastRow="0" w:firstColumn="1" w:lastColumn="0" w:noHBand="0" w:noVBand="1"/>
    </w:tblPr>
    <w:tblGrid>
      <w:gridCol w:w="6999"/>
      <w:gridCol w:w="3621"/>
    </w:tblGrid>
    <w:tr w:rsidR="006025E4">
      <w:tc>
        <w:tcPr>
          <w:tcW w:w="10620" w:type="dxa"/>
          <w:gridSpan w:val="2"/>
          <w:tcBorders>
            <w:bottom w:val="single" w:sz="7" w:space="0" w:color="000000"/>
          </w:tcBorders>
          <w:vAlign w:val="bottom"/>
        </w:tcPr>
        <w:p w:rsidR="006025E4" w:rsidRDefault="001123F3">
          <w:pPr>
            <w:pStyle w:val="Heading2"/>
          </w:pPr>
          <w:r w:rsidRPr="004130F1">
            <w:rPr>
              <w:noProof/>
              <w:color w:val="003250"/>
            </w:rPr>
            <w:drawing>
              <wp:inline distT="0" distB="0" distL="0" distR="0">
                <wp:extent cx="2266950" cy="790575"/>
                <wp:effectExtent l="0" t="0" r="0" b="9525"/>
                <wp:docPr id="2" name="Picture 2" descr="Horiz Stacked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 Stacked 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90575"/>
                        </a:xfrm>
                        <a:prstGeom prst="rect">
                          <a:avLst/>
                        </a:prstGeom>
                        <a:noFill/>
                        <a:ln>
                          <a:noFill/>
                        </a:ln>
                      </pic:spPr>
                    </pic:pic>
                  </a:graphicData>
                </a:graphic>
              </wp:inline>
            </w:drawing>
          </w:r>
        </w:p>
        <w:p w:rsidR="006025E4" w:rsidRDefault="00A626F8">
          <w:pPr>
            <w:pStyle w:val="Heading1"/>
          </w:pPr>
          <w:r>
            <w:t>Policies and Procedures</w:t>
          </w:r>
        </w:p>
        <w:p w:rsidR="006025E4" w:rsidRDefault="006025E4"/>
      </w:tc>
    </w:tr>
    <w:tr w:rsidR="006025E4">
      <w:tc>
        <w:tcPr>
          <w:tcW w:w="6999" w:type="dxa"/>
          <w:tcBorders>
            <w:top w:val="single" w:sz="7" w:space="0" w:color="000000"/>
            <w:left w:val="single" w:sz="7" w:space="0" w:color="000000"/>
            <w:bottom w:val="single" w:sz="7" w:space="0" w:color="000000"/>
            <w:right w:val="single" w:sz="7" w:space="0" w:color="000000"/>
          </w:tcBorders>
        </w:tcPr>
        <w:p w:rsidR="006025E4" w:rsidRDefault="006025E4">
          <w:pPr>
            <w:spacing w:line="120" w:lineRule="exact"/>
            <w:rPr>
              <w:rFonts w:ascii="Arial" w:hAnsi="Arial"/>
              <w:sz w:val="20"/>
            </w:rPr>
          </w:pPr>
        </w:p>
        <w:p w:rsidR="006025E4" w:rsidRDefault="00A626F8">
          <w:pPr>
            <w:tabs>
              <w:tab w:val="left" w:pos="-1440"/>
            </w:tabs>
            <w:ind w:left="2016" w:right="720" w:hanging="2016"/>
            <w:rPr>
              <w:rFonts w:ascii="Arial" w:hAnsi="Arial"/>
              <w:b/>
              <w:sz w:val="20"/>
            </w:rPr>
          </w:pPr>
          <w:r>
            <w:rPr>
              <w:rFonts w:ascii="Arial" w:hAnsi="Arial"/>
              <w:b/>
              <w:sz w:val="20"/>
            </w:rPr>
            <w:t xml:space="preserve">Department:  </w:t>
          </w:r>
          <w:r>
            <w:rPr>
              <w:rFonts w:ascii="Arial" w:hAnsi="Arial"/>
              <w:sz w:val="20"/>
            </w:rPr>
            <w:t>Compliance</w:t>
          </w:r>
        </w:p>
        <w:p w:rsidR="006025E4" w:rsidRDefault="00A626F8">
          <w:pPr>
            <w:tabs>
              <w:tab w:val="left" w:pos="-1440"/>
            </w:tabs>
            <w:ind w:left="2016" w:right="720" w:hanging="2016"/>
            <w:rPr>
              <w:rFonts w:ascii="Arial" w:hAnsi="Arial"/>
              <w:sz w:val="20"/>
            </w:rPr>
          </w:pPr>
          <w:r>
            <w:rPr>
              <w:rFonts w:ascii="Arial" w:hAnsi="Arial"/>
              <w:b/>
              <w:sz w:val="20"/>
            </w:rPr>
            <w:t>Subject:</w:t>
          </w:r>
          <w:r>
            <w:rPr>
              <w:rFonts w:ascii="Arial" w:hAnsi="Arial"/>
              <w:sz w:val="20"/>
            </w:rPr>
            <w:t xml:space="preserve">  Discrimination</w:t>
          </w:r>
        </w:p>
        <w:p w:rsidR="006025E4" w:rsidRDefault="00A626F8">
          <w:pPr>
            <w:spacing w:after="58"/>
            <w:ind w:right="720"/>
            <w:rPr>
              <w:rFonts w:ascii="Arial" w:hAnsi="Arial"/>
              <w:sz w:val="20"/>
            </w:rPr>
          </w:pPr>
          <w:r>
            <w:rPr>
              <w:rFonts w:ascii="Arial" w:hAnsi="Arial"/>
              <w:sz w:val="20"/>
            </w:rPr>
            <w:t xml:space="preserve">Page </w:t>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Pr>
              <w:rFonts w:ascii="Arial" w:hAnsi="Arial"/>
              <w:sz w:val="20"/>
            </w:rPr>
            <w:t>1</w:t>
          </w:r>
          <w:r>
            <w:rPr>
              <w:rFonts w:ascii="Arial" w:hAnsi="Arial"/>
              <w:sz w:val="20"/>
            </w:rPr>
            <w:fldChar w:fldCharType="end"/>
          </w:r>
          <w:r>
            <w:rPr>
              <w:rFonts w:ascii="Arial" w:hAnsi="Arial"/>
              <w:sz w:val="20"/>
            </w:rPr>
            <w:t xml:space="preserve"> of 1</w:t>
          </w:r>
        </w:p>
      </w:tc>
      <w:tc>
        <w:tcPr>
          <w:tcW w:w="3621" w:type="dxa"/>
          <w:tcBorders>
            <w:top w:val="single" w:sz="7" w:space="0" w:color="000000"/>
            <w:left w:val="single" w:sz="7" w:space="0" w:color="000000"/>
            <w:bottom w:val="single" w:sz="7" w:space="0" w:color="000000"/>
            <w:right w:val="single" w:sz="7" w:space="0" w:color="000000"/>
          </w:tcBorders>
        </w:tcPr>
        <w:p w:rsidR="006025E4" w:rsidRDefault="006025E4">
          <w:pPr>
            <w:spacing w:line="120" w:lineRule="exact"/>
            <w:rPr>
              <w:rFonts w:ascii="Arial" w:hAnsi="Arial"/>
              <w:sz w:val="20"/>
            </w:rPr>
          </w:pPr>
        </w:p>
        <w:p w:rsidR="006025E4" w:rsidRDefault="00A626F8">
          <w:pPr>
            <w:tabs>
              <w:tab w:val="left" w:pos="-1440"/>
            </w:tabs>
            <w:ind w:left="2016" w:right="720" w:hanging="2016"/>
            <w:rPr>
              <w:rFonts w:ascii="Arial" w:hAnsi="Arial"/>
              <w:sz w:val="20"/>
            </w:rPr>
          </w:pPr>
          <w:r>
            <w:rPr>
              <w:rFonts w:ascii="Arial" w:hAnsi="Arial"/>
              <w:b/>
              <w:sz w:val="20"/>
            </w:rPr>
            <w:t>Number:</w:t>
          </w:r>
          <w:bookmarkStart w:id="1" w:name="a2"/>
          <w:r>
            <w:rPr>
              <w:rFonts w:ascii="Arial" w:hAnsi="Arial"/>
              <w:b/>
              <w:sz w:val="20"/>
            </w:rPr>
            <w:t xml:space="preserve">    CP</w:t>
          </w:r>
          <w:bookmarkEnd w:id="1"/>
          <w:r>
            <w:rPr>
              <w:rFonts w:ascii="Arial" w:hAnsi="Arial"/>
              <w:sz w:val="20"/>
            </w:rPr>
            <w:t>2.11</w:t>
          </w:r>
        </w:p>
        <w:p w:rsidR="006025E4" w:rsidRDefault="00A626F8">
          <w:pPr>
            <w:tabs>
              <w:tab w:val="left" w:pos="-1440"/>
            </w:tabs>
            <w:ind w:left="2016" w:right="720" w:hanging="2016"/>
            <w:rPr>
              <w:rFonts w:ascii="Arial" w:hAnsi="Arial"/>
              <w:sz w:val="20"/>
            </w:rPr>
          </w:pPr>
          <w:r>
            <w:rPr>
              <w:rFonts w:ascii="Arial" w:hAnsi="Arial"/>
              <w:b/>
              <w:sz w:val="20"/>
            </w:rPr>
            <w:t xml:space="preserve">Date of Origin: </w:t>
          </w:r>
          <w:r>
            <w:rPr>
              <w:rFonts w:ascii="Arial" w:hAnsi="Arial"/>
              <w:sz w:val="20"/>
            </w:rPr>
            <w:t>05/22/2015</w:t>
          </w:r>
        </w:p>
        <w:p w:rsidR="006025E4" w:rsidRDefault="00A626F8">
          <w:pPr>
            <w:tabs>
              <w:tab w:val="left" w:pos="-1440"/>
            </w:tabs>
            <w:ind w:left="2016" w:right="720" w:hanging="2016"/>
            <w:rPr>
              <w:rFonts w:ascii="Arial" w:hAnsi="Arial"/>
              <w:sz w:val="20"/>
            </w:rPr>
          </w:pPr>
          <w:r>
            <w:rPr>
              <w:rFonts w:ascii="Arial" w:hAnsi="Arial"/>
              <w:b/>
              <w:sz w:val="20"/>
            </w:rPr>
            <w:t xml:space="preserve">Reviewed: </w:t>
          </w:r>
          <w:r w:rsidR="001123F3">
            <w:rPr>
              <w:rFonts w:ascii="Arial" w:hAnsi="Arial"/>
              <w:sz w:val="20"/>
            </w:rPr>
            <w:t>07/08/2024</w:t>
          </w:r>
        </w:p>
        <w:p w:rsidR="000C7D8F" w:rsidRDefault="000C7D8F">
          <w:pPr>
            <w:tabs>
              <w:tab w:val="left" w:pos="-1440"/>
            </w:tabs>
            <w:ind w:left="2016" w:right="720" w:hanging="2016"/>
            <w:rPr>
              <w:rFonts w:ascii="Arial" w:hAnsi="Arial"/>
              <w:sz w:val="20"/>
            </w:rPr>
          </w:pPr>
          <w:r>
            <w:rPr>
              <w:rFonts w:ascii="Arial" w:hAnsi="Arial"/>
              <w:b/>
              <w:sz w:val="20"/>
            </w:rPr>
            <w:t>Revised 12/05/2024</w:t>
          </w:r>
        </w:p>
      </w:tc>
    </w:tr>
    <w:tr w:rsidR="006025E4">
      <w:tc>
        <w:tcPr>
          <w:tcW w:w="6999" w:type="dxa"/>
          <w:tcBorders>
            <w:top w:val="single" w:sz="7" w:space="0" w:color="000000"/>
            <w:left w:val="single" w:sz="7" w:space="0" w:color="000000"/>
            <w:bottom w:val="single" w:sz="7" w:space="0" w:color="000000"/>
            <w:right w:val="single" w:sz="7" w:space="0" w:color="000000"/>
          </w:tcBorders>
        </w:tcPr>
        <w:p w:rsidR="006025E4" w:rsidRDefault="006025E4">
          <w:pPr>
            <w:spacing w:line="120" w:lineRule="exact"/>
            <w:rPr>
              <w:rFonts w:ascii="Arial" w:hAnsi="Arial"/>
              <w:sz w:val="20"/>
            </w:rPr>
          </w:pPr>
        </w:p>
      </w:tc>
      <w:tc>
        <w:tcPr>
          <w:tcW w:w="3621" w:type="dxa"/>
          <w:tcBorders>
            <w:top w:val="single" w:sz="7" w:space="0" w:color="000000"/>
            <w:left w:val="single" w:sz="7" w:space="0" w:color="000000"/>
            <w:bottom w:val="single" w:sz="7" w:space="0" w:color="000000"/>
            <w:right w:val="single" w:sz="7" w:space="0" w:color="000000"/>
          </w:tcBorders>
        </w:tcPr>
        <w:p w:rsidR="006025E4" w:rsidRDefault="006025E4">
          <w:pPr>
            <w:spacing w:line="120" w:lineRule="exact"/>
            <w:rPr>
              <w:rFonts w:ascii="Arial" w:hAnsi="Arial"/>
              <w:sz w:val="20"/>
            </w:rPr>
          </w:pPr>
        </w:p>
      </w:tc>
    </w:tr>
  </w:tbl>
  <w:p w:rsidR="006025E4" w:rsidRDefault="006025E4">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7A28"/>
    <w:multiLevelType w:val="hybridMultilevel"/>
    <w:tmpl w:val="399A2FA0"/>
    <w:lvl w:ilvl="0" w:tplc="5E626C98">
      <w:start w:val="1"/>
      <w:numFmt w:val="decimal"/>
      <w:lvlText w:val="%1."/>
      <w:lvlJc w:val="left"/>
      <w:pPr>
        <w:ind w:left="1440" w:hanging="360"/>
      </w:pPr>
    </w:lvl>
    <w:lvl w:ilvl="1" w:tplc="85EAFF5A">
      <w:start w:val="1"/>
      <w:numFmt w:val="lowerLetter"/>
      <w:lvlText w:val="%2."/>
      <w:lvlJc w:val="left"/>
      <w:pPr>
        <w:ind w:left="2160" w:hanging="360"/>
      </w:pPr>
    </w:lvl>
    <w:lvl w:ilvl="2" w:tplc="C96CB5CC">
      <w:start w:val="1"/>
      <w:numFmt w:val="lowerRoman"/>
      <w:lvlText w:val="%3."/>
      <w:lvlJc w:val="right"/>
      <w:pPr>
        <w:ind w:left="2880" w:hanging="180"/>
      </w:pPr>
    </w:lvl>
    <w:lvl w:ilvl="3" w:tplc="C75CB03E">
      <w:start w:val="1"/>
      <w:numFmt w:val="decimal"/>
      <w:lvlText w:val="%4."/>
      <w:lvlJc w:val="left"/>
      <w:pPr>
        <w:ind w:left="3600" w:hanging="360"/>
      </w:pPr>
    </w:lvl>
    <w:lvl w:ilvl="4" w:tplc="C95EBD38">
      <w:start w:val="1"/>
      <w:numFmt w:val="lowerLetter"/>
      <w:lvlText w:val="%5."/>
      <w:lvlJc w:val="left"/>
      <w:pPr>
        <w:ind w:left="4320" w:hanging="360"/>
      </w:pPr>
    </w:lvl>
    <w:lvl w:ilvl="5" w:tplc="B4D83672">
      <w:start w:val="1"/>
      <w:numFmt w:val="lowerRoman"/>
      <w:lvlText w:val="%6."/>
      <w:lvlJc w:val="right"/>
      <w:pPr>
        <w:ind w:left="5040" w:hanging="180"/>
      </w:pPr>
    </w:lvl>
    <w:lvl w:ilvl="6" w:tplc="38102A9C">
      <w:start w:val="1"/>
      <w:numFmt w:val="decimal"/>
      <w:lvlText w:val="%7."/>
      <w:lvlJc w:val="left"/>
      <w:pPr>
        <w:ind w:left="5760" w:hanging="360"/>
      </w:pPr>
    </w:lvl>
    <w:lvl w:ilvl="7" w:tplc="06D8DFF8">
      <w:start w:val="1"/>
      <w:numFmt w:val="lowerLetter"/>
      <w:lvlText w:val="%8."/>
      <w:lvlJc w:val="left"/>
      <w:pPr>
        <w:ind w:left="6480" w:hanging="360"/>
      </w:pPr>
    </w:lvl>
    <w:lvl w:ilvl="8" w:tplc="A6DCE8FA">
      <w:start w:val="1"/>
      <w:numFmt w:val="lowerRoman"/>
      <w:lvlText w:val="%9."/>
      <w:lvlJc w:val="right"/>
      <w:pPr>
        <w:ind w:left="7200" w:hanging="180"/>
      </w:pPr>
    </w:lvl>
  </w:abstractNum>
  <w:abstractNum w:abstractNumId="1" w15:restartNumberingAfterBreak="0">
    <w:nsid w:val="282967A1"/>
    <w:multiLevelType w:val="multilevel"/>
    <w:tmpl w:val="DAA2277A"/>
    <w:lvl w:ilvl="0">
      <w:start w:val="1"/>
      <w:numFmt w:val="decimal"/>
      <w:lvlText w:val="%1"/>
      <w:lvlJc w:val="left"/>
      <w:pPr>
        <w:ind w:left="720" w:hanging="72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A8E2845"/>
    <w:multiLevelType w:val="hybridMultilevel"/>
    <w:tmpl w:val="230A7E4A"/>
    <w:lvl w:ilvl="0" w:tplc="4ED230E8">
      <w:start w:val="1"/>
      <w:numFmt w:val="upperLetter"/>
      <w:lvlText w:val="%1."/>
      <w:lvlJc w:val="left"/>
      <w:pPr>
        <w:ind w:left="1440" w:hanging="360"/>
      </w:pPr>
    </w:lvl>
    <w:lvl w:ilvl="1" w:tplc="B446929A">
      <w:start w:val="1"/>
      <w:numFmt w:val="lowerLetter"/>
      <w:lvlText w:val="%2."/>
      <w:lvlJc w:val="left"/>
      <w:pPr>
        <w:ind w:left="2160" w:hanging="360"/>
      </w:pPr>
    </w:lvl>
    <w:lvl w:ilvl="2" w:tplc="979A5424">
      <w:start w:val="1"/>
      <w:numFmt w:val="lowerRoman"/>
      <w:lvlText w:val="%3."/>
      <w:lvlJc w:val="right"/>
      <w:pPr>
        <w:ind w:left="2880" w:hanging="180"/>
      </w:pPr>
    </w:lvl>
    <w:lvl w:ilvl="3" w:tplc="753E61AC">
      <w:start w:val="1"/>
      <w:numFmt w:val="decimal"/>
      <w:lvlText w:val="%4."/>
      <w:lvlJc w:val="left"/>
      <w:pPr>
        <w:ind w:left="3600" w:hanging="360"/>
      </w:pPr>
    </w:lvl>
    <w:lvl w:ilvl="4" w:tplc="7DB06442">
      <w:start w:val="1"/>
      <w:numFmt w:val="lowerLetter"/>
      <w:lvlText w:val="%5."/>
      <w:lvlJc w:val="left"/>
      <w:pPr>
        <w:ind w:left="4320" w:hanging="360"/>
      </w:pPr>
    </w:lvl>
    <w:lvl w:ilvl="5" w:tplc="9AEE1E04">
      <w:start w:val="1"/>
      <w:numFmt w:val="lowerRoman"/>
      <w:lvlText w:val="%6."/>
      <w:lvlJc w:val="right"/>
      <w:pPr>
        <w:ind w:left="5040" w:hanging="180"/>
      </w:pPr>
    </w:lvl>
    <w:lvl w:ilvl="6" w:tplc="DA1860F2">
      <w:start w:val="1"/>
      <w:numFmt w:val="decimal"/>
      <w:lvlText w:val="%7."/>
      <w:lvlJc w:val="left"/>
      <w:pPr>
        <w:ind w:left="5760" w:hanging="360"/>
      </w:pPr>
    </w:lvl>
    <w:lvl w:ilvl="7" w:tplc="B7A23060">
      <w:start w:val="1"/>
      <w:numFmt w:val="lowerLetter"/>
      <w:lvlText w:val="%8."/>
      <w:lvlJc w:val="left"/>
      <w:pPr>
        <w:ind w:left="6480" w:hanging="360"/>
      </w:pPr>
    </w:lvl>
    <w:lvl w:ilvl="8" w:tplc="41E0A35A">
      <w:start w:val="1"/>
      <w:numFmt w:val="lowerRoman"/>
      <w:lvlText w:val="%9."/>
      <w:lvlJc w:val="right"/>
      <w:pPr>
        <w:ind w:left="7200" w:hanging="180"/>
      </w:pPr>
    </w:lvl>
  </w:abstractNum>
  <w:abstractNum w:abstractNumId="3" w15:restartNumberingAfterBreak="0">
    <w:nsid w:val="60C12A05"/>
    <w:multiLevelType w:val="hybridMultilevel"/>
    <w:tmpl w:val="5A7CD0DC"/>
    <w:lvl w:ilvl="0" w:tplc="12F839C2">
      <w:start w:val="1"/>
      <w:numFmt w:val="bullet"/>
      <w:lvlText w:val=""/>
      <w:lvlJc w:val="left"/>
      <w:pPr>
        <w:ind w:left="1440" w:hanging="360"/>
      </w:pPr>
      <w:rPr>
        <w:rFonts w:ascii="Symbol" w:hAnsi="Symbol"/>
      </w:rPr>
    </w:lvl>
    <w:lvl w:ilvl="1" w:tplc="29C48A38">
      <w:start w:val="1"/>
      <w:numFmt w:val="bullet"/>
      <w:lvlText w:val="o"/>
      <w:lvlJc w:val="left"/>
      <w:pPr>
        <w:ind w:left="2160" w:hanging="360"/>
      </w:pPr>
      <w:rPr>
        <w:rFonts w:ascii="Courier New" w:hAnsi="Courier New"/>
      </w:rPr>
    </w:lvl>
    <w:lvl w:ilvl="2" w:tplc="1E480798">
      <w:start w:val="1"/>
      <w:numFmt w:val="bullet"/>
      <w:lvlText w:val=""/>
      <w:lvlJc w:val="left"/>
      <w:pPr>
        <w:ind w:left="2880" w:hanging="360"/>
      </w:pPr>
      <w:rPr>
        <w:rFonts w:ascii="Wingdings" w:hAnsi="Wingdings"/>
      </w:rPr>
    </w:lvl>
    <w:lvl w:ilvl="3" w:tplc="997815B6">
      <w:start w:val="1"/>
      <w:numFmt w:val="bullet"/>
      <w:lvlText w:val=""/>
      <w:lvlJc w:val="left"/>
      <w:pPr>
        <w:ind w:left="3600" w:hanging="360"/>
      </w:pPr>
      <w:rPr>
        <w:rFonts w:ascii="Symbol" w:hAnsi="Symbol"/>
      </w:rPr>
    </w:lvl>
    <w:lvl w:ilvl="4" w:tplc="6BE6B31C">
      <w:start w:val="1"/>
      <w:numFmt w:val="bullet"/>
      <w:lvlText w:val="o"/>
      <w:lvlJc w:val="left"/>
      <w:pPr>
        <w:ind w:left="4320" w:hanging="360"/>
      </w:pPr>
      <w:rPr>
        <w:rFonts w:ascii="Courier New" w:hAnsi="Courier New"/>
      </w:rPr>
    </w:lvl>
    <w:lvl w:ilvl="5" w:tplc="A8BA71C8">
      <w:start w:val="1"/>
      <w:numFmt w:val="bullet"/>
      <w:lvlText w:val=""/>
      <w:lvlJc w:val="left"/>
      <w:pPr>
        <w:ind w:left="5040" w:hanging="360"/>
      </w:pPr>
      <w:rPr>
        <w:rFonts w:ascii="Wingdings" w:hAnsi="Wingdings"/>
      </w:rPr>
    </w:lvl>
    <w:lvl w:ilvl="6" w:tplc="889067B0">
      <w:start w:val="1"/>
      <w:numFmt w:val="bullet"/>
      <w:lvlText w:val=""/>
      <w:lvlJc w:val="left"/>
      <w:pPr>
        <w:ind w:left="5760" w:hanging="360"/>
      </w:pPr>
      <w:rPr>
        <w:rFonts w:ascii="Symbol" w:hAnsi="Symbol"/>
      </w:rPr>
    </w:lvl>
    <w:lvl w:ilvl="7" w:tplc="599AD37A">
      <w:start w:val="1"/>
      <w:numFmt w:val="bullet"/>
      <w:lvlText w:val="o"/>
      <w:lvlJc w:val="left"/>
      <w:pPr>
        <w:ind w:left="6480" w:hanging="360"/>
      </w:pPr>
      <w:rPr>
        <w:rFonts w:ascii="Courier New" w:hAnsi="Courier New"/>
      </w:rPr>
    </w:lvl>
    <w:lvl w:ilvl="8" w:tplc="893059B8">
      <w:start w:val="1"/>
      <w:numFmt w:val="bullet"/>
      <w:lvlText w:val=""/>
      <w:lvlJc w:val="left"/>
      <w:pPr>
        <w:ind w:left="7200" w:hanging="360"/>
      </w:pPr>
      <w:rPr>
        <w:rFonts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E4"/>
    <w:rsid w:val="000253C7"/>
    <w:rsid w:val="000C7D8F"/>
    <w:rsid w:val="001123F3"/>
    <w:rsid w:val="006025E4"/>
    <w:rsid w:val="00A62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2251"/>
  <w15:docId w15:val="{86FD6C06-C6BE-496E-A735-CCDFB21C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pPr>
    <w:rPr>
      <w:rFonts w:ascii="Garamond" w:hAnsi="Garamond"/>
      <w:sz w:val="24"/>
    </w:rPr>
  </w:style>
  <w:style w:type="paragraph" w:styleId="Heading1">
    <w:name w:val="heading 1"/>
    <w:basedOn w:val="Normal"/>
    <w:next w:val="Normal"/>
    <w:link w:val="Heading1Char"/>
    <w:pPr>
      <w:keepNext/>
      <w:jc w:val="center"/>
      <w:outlineLvl w:val="0"/>
    </w:pPr>
    <w:rPr>
      <w:rFonts w:ascii="Arial" w:hAnsi="Arial"/>
      <w:b/>
      <w:sz w:val="20"/>
    </w:rPr>
  </w:style>
  <w:style w:type="paragraph" w:styleId="Heading2">
    <w:name w:val="heading 2"/>
    <w:basedOn w:val="Normal"/>
    <w:next w:val="Normal"/>
    <w:link w:val="Heading2Char"/>
    <w:pPr>
      <w:keepNext/>
      <w:jc w:val="center"/>
      <w:outlineLvl w:val="1"/>
    </w:pPr>
    <w:rPr>
      <w:rFonts w:ascii="Arial" w:hAnsi="Arial"/>
      <w:b/>
      <w:bCs/>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sz w:val="22"/>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sz w:val="22"/>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sz w:val="22"/>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paragraph" w:styleId="Caption">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styleId="TableGrid">
    <w:name w:val="Table Grid"/>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Light">
    <w:name w:val="Grid Table Light"/>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lainTable1">
    <w:name w:val="Plain Table 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uiPriority w:val="99"/>
    <w:pPr>
      <w:spacing w:after="0" w:line="240" w:lineRule="auto"/>
    </w:p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pPr>
      <w:spacing w:after="0" w:line="240" w:lineRule="auto"/>
    </w:pPr>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pPr>
      <w:spacing w:after="0" w:line="240" w:lineRule="auto"/>
    </w:pPr>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pPr>
      <w:spacing w:after="0" w:line="240" w:lineRule="auto"/>
    </w:pPr>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pPr>
      <w:spacing w:after="0" w:line="240" w:lineRule="auto"/>
    </w:pPr>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pPr>
      <w:spacing w:after="0" w:line="240" w:lineRule="auto"/>
    </w:pPr>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pPr>
      <w:spacing w:after="0" w:line="240" w:lineRule="auto"/>
    </w:pPr>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pPr>
      <w:spacing w:after="0" w:line="240" w:lineRule="auto"/>
    </w:pPr>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styleId="FootnoteReference">
    <w:name w:val="footnote reference"/>
    <w:semiHidden/>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tabs>
        <w:tab w:val="left" w:pos="-1080"/>
        <w:tab w:val="left" w:pos="-720"/>
        <w:tab w:val="left" w:pos="0"/>
        <w:tab w:val="left" w:pos="720"/>
        <w:tab w:val="left" w:pos="1440"/>
        <w:tab w:val="left" w:pos="2340"/>
      </w:tabs>
      <w:ind w:left="720" w:hanging="720"/>
    </w:pPr>
    <w:rPr>
      <w:rFonts w:ascii="Arial" w:hAnsi="Arial"/>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sz w:val="16"/>
      <w:szCs w:val="16"/>
    </w:rPr>
  </w:style>
  <w:style w:type="character" w:customStyle="1" w:styleId="FooterChar">
    <w:name w:val="Footer Char"/>
    <w:link w:val="Footer"/>
    <w:rPr>
      <w:rFonts w:ascii="Garamond" w:hAnsi="Garamond"/>
      <w:sz w:val="24"/>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Gulihur</dc:creator>
  <cp:lastModifiedBy>Judith A Gulihur</cp:lastModifiedBy>
  <cp:revision>3</cp:revision>
  <dcterms:created xsi:type="dcterms:W3CDTF">2024-12-11T17:39:00Z</dcterms:created>
  <dcterms:modified xsi:type="dcterms:W3CDTF">2024-12-11T17:41:00Z</dcterms:modified>
</cp:coreProperties>
</file>